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393700</wp:posOffset>
                </wp:positionV>
                <wp:extent cx="6759575" cy="8636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393700</wp:posOffset>
                </wp:positionV>
                <wp:extent cx="6759575" cy="86360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2247900</wp:posOffset>
                </wp:positionH>
                <wp:positionV relativeFrom="paragraph">
                  <wp:posOffset>546100</wp:posOffset>
                </wp:positionV>
                <wp:extent cx="4038600" cy="5715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336225" y="3503775"/>
                          <a:ext cx="40195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Política de Seguridad Vial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2247900</wp:posOffset>
                </wp:positionH>
                <wp:positionV relativeFrom="paragraph">
                  <wp:posOffset>546100</wp:posOffset>
                </wp:positionV>
                <wp:extent cx="4038600" cy="5715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38600" cy="571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-171448</wp:posOffset>
            </wp:positionH>
            <wp:positionV relativeFrom="paragraph">
              <wp:posOffset>474344</wp:posOffset>
            </wp:positionV>
            <wp:extent cx="2333625" cy="707954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95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  <w:t xml:space="preserve">La empresa en su compromiso de preservar la vida humana y la continuidad de las operaciones, ha establecido la siguiente política de seguridad vial; La cual es de obligatorio cumplimiento para conductores propios y terceros, quienes deben seguir los lineamientos relacionados a continuación:</w:t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debe ser cortes y respetar a otros conductores y usuarios de la vía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deben respetar los límites de velocidad establecidos por las autoridades.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conducir bajo influencia de sustancias alcohólicas o alucinógenas, es una situación NO permitida dentro de la compañía que amerita la sanción o despido justificado.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uso del cinturón de seguridad debe hacerse en todo momento.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Todo conductor debe portar con la documentación requerida por las autoridades de tránsito y la empresa.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Está prohibido el ingreso de acompañantes de cabina a las locaciones del cliente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 responsabilidad del conductor hacer uso adecuado de la unidad de transporte y todos sus componentes, el equipo de carretera, los elementos de seguridad personal y demás elementos proporcionados por la empresa. Así como velar por las condiciones de conservación necesarias de los mismos.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Previo al viaje el conductor debe realizar inspección preoperacional al vehículo para garantizar la operatividad del mismo.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Cuando se tenga conocimiento de situaciones de orden público que se puedan estar presentando se informará vía telefónica a Control Trafico y jefe inmediato quienes darán la instrucción del caso.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Todo conductor está obligado a conocer y aplicar las técnicas de manejo defensivo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uso de teléfonos celulares y el envío de mensajes es una conducta no permitida por la empresa mientras el vehículo está en movimiento.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Todo conductor debe haber descansado y estar en condiciones físicas óptimas; antes de iniciar cualquier trayecto si siente fatiga durante la jornada de conducción debe detener la marcha en un sitio seguro y tomar un descanso de por lo menos 15 minutos cada cuatro horas.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Los conductores deben portar la dotación suministrada por la empresa.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Hacer desinfección del vehículo antes y después de ser operado según el protocolo de Bioseguridad implementado.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4219.0" w:type="dxa"/>
        <w:jc w:val="center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219"/>
        <w:tblGridChange w:id="0">
          <w:tblGrid>
            <w:gridCol w:w="4219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María de los Ángeles Duarte de Sánchez </w:t>
            </w:r>
          </w:p>
          <w:p w:rsidR="00000000" w:rsidDel="00000000" w:rsidP="00000000" w:rsidRDefault="00000000" w:rsidRPr="00000000" w14:paraId="0000001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Representante legal</w:t>
            </w:r>
          </w:p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Octubre 2021</w:t>
            </w:r>
          </w:p>
        </w:tc>
      </w:tr>
    </w:tbl>
    <w:p w:rsidR="00000000" w:rsidDel="00000000" w:rsidP="00000000" w:rsidRDefault="00000000" w:rsidRPr="00000000" w14:paraId="0000001B">
      <w:pPr>
        <w:jc w:val="center"/>
        <w:rPr>
          <w:rFonts w:ascii="Abadi" w:cs="Abadi" w:eastAsia="Abadi" w:hAnsi="Abad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rFonts w:ascii="Abadi" w:cs="Abadi" w:eastAsia="Abadi" w:hAnsi="Abadi"/>
          <w:b w:val="1"/>
          <w:sz w:val="24"/>
          <w:szCs w:val="24"/>
        </w:rPr>
      </w:pPr>
      <w:r w:rsidDel="00000000" w:rsidR="00000000" w:rsidRPr="00000000">
        <w:rPr>
          <w:rFonts w:ascii="Abadi" w:cs="Abadi" w:eastAsia="Abadi" w:hAnsi="Abadi"/>
          <w:b w:val="1"/>
          <w:sz w:val="24"/>
          <w:szCs w:val="24"/>
          <w:rtl w:val="0"/>
        </w:rPr>
        <w:t xml:space="preserve">Control de gestión de cambios</w:t>
      </w:r>
    </w:p>
    <w:tbl>
      <w:tblPr>
        <w:tblStyle w:val="Table2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jc w:val="both"/>
        <w:rPr>
          <w:rFonts w:ascii="Abadi" w:cs="Abadi" w:eastAsia="Abadi" w:hAnsi="Abad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pos="6360"/>
        </w:tabs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